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15" w:rsidRDefault="00266415" w:rsidP="00266415">
      <w:pPr>
        <w:jc w:val="center"/>
        <w:rPr>
          <w:rFonts w:ascii="Georgia" w:hAnsi="Georgia"/>
          <w:b/>
          <w:sz w:val="24"/>
          <w:szCs w:val="24"/>
        </w:rPr>
      </w:pPr>
      <w:r w:rsidRPr="00266415">
        <w:rPr>
          <w:rFonts w:ascii="Georgia" w:hAnsi="Georgia"/>
          <w:b/>
          <w:sz w:val="24"/>
          <w:szCs w:val="24"/>
        </w:rPr>
        <w:t>DIREITO ADMINISTRATIVO DA PRUDÊNCIA</w:t>
      </w:r>
    </w:p>
    <w:p w:rsidR="00AE61BC" w:rsidRDefault="00AE61BC" w:rsidP="00266415">
      <w:pPr>
        <w:rPr>
          <w:rFonts w:ascii="Georgia" w:hAnsi="Georgia"/>
          <w:i/>
          <w:sz w:val="24"/>
          <w:szCs w:val="24"/>
        </w:rPr>
      </w:pPr>
      <w:r w:rsidRPr="00AE61BC">
        <w:rPr>
          <w:rFonts w:ascii="Georgia" w:hAnsi="Georgia"/>
          <w:i/>
          <w:sz w:val="24"/>
          <w:szCs w:val="24"/>
        </w:rPr>
        <w:t xml:space="preserve">Por </w:t>
      </w:r>
      <w:r w:rsidR="00266415" w:rsidRPr="00266415">
        <w:rPr>
          <w:rFonts w:ascii="Georgia" w:hAnsi="Georgia"/>
          <w:i/>
          <w:sz w:val="24"/>
          <w:szCs w:val="24"/>
        </w:rPr>
        <w:t xml:space="preserve">Gabriela </w:t>
      </w:r>
      <w:proofErr w:type="spellStart"/>
      <w:r w:rsidR="00266415" w:rsidRPr="00266415">
        <w:rPr>
          <w:rFonts w:ascii="Georgia" w:hAnsi="Georgia"/>
          <w:i/>
          <w:sz w:val="24"/>
          <w:szCs w:val="24"/>
        </w:rPr>
        <w:t>Pércio</w:t>
      </w:r>
      <w:proofErr w:type="spellEnd"/>
      <w:r w:rsidR="00EE0534" w:rsidRPr="0063513D">
        <w:rPr>
          <w:rStyle w:val="Refdenotaderodap"/>
          <w:rFonts w:ascii="Georgia" w:hAnsi="Georgia"/>
          <w:i/>
          <w:sz w:val="24"/>
          <w:szCs w:val="24"/>
        </w:rPr>
        <w:footnoteReference w:id="1"/>
      </w:r>
      <w:r w:rsidR="00EE061B">
        <w:rPr>
          <w:rFonts w:ascii="Georgia" w:hAnsi="Georgia"/>
          <w:i/>
          <w:sz w:val="24"/>
          <w:szCs w:val="24"/>
        </w:rPr>
        <w:br/>
      </w:r>
      <w:r w:rsidR="00D24804">
        <w:rPr>
          <w:rFonts w:ascii="Georgia" w:hAnsi="Georgia"/>
          <w:i/>
          <w:sz w:val="24"/>
          <w:szCs w:val="24"/>
        </w:rPr>
        <w:t>2</w:t>
      </w:r>
      <w:r w:rsidR="00266415">
        <w:rPr>
          <w:rFonts w:ascii="Georgia" w:hAnsi="Georgia"/>
          <w:i/>
          <w:sz w:val="24"/>
          <w:szCs w:val="24"/>
        </w:rPr>
        <w:t>2</w:t>
      </w:r>
      <w:r w:rsidR="00EE061B">
        <w:rPr>
          <w:rFonts w:ascii="Georgia" w:hAnsi="Georgia"/>
          <w:i/>
          <w:sz w:val="24"/>
          <w:szCs w:val="24"/>
        </w:rPr>
        <w:t>/0</w:t>
      </w:r>
      <w:r w:rsidR="0063513D">
        <w:rPr>
          <w:rFonts w:ascii="Georgia" w:hAnsi="Georgia"/>
          <w:i/>
          <w:sz w:val="24"/>
          <w:szCs w:val="24"/>
        </w:rPr>
        <w:t>4</w:t>
      </w:r>
      <w:r w:rsidR="00EE061B">
        <w:rPr>
          <w:rFonts w:ascii="Georgia" w:hAnsi="Georgia"/>
          <w:i/>
          <w:sz w:val="24"/>
          <w:szCs w:val="24"/>
        </w:rPr>
        <w:t>/2020</w:t>
      </w:r>
      <w:bookmarkStart w:id="0" w:name="_GoBack"/>
      <w:bookmarkEnd w:id="0"/>
    </w:p>
    <w:p w:rsidR="00416056" w:rsidRDefault="00416056" w:rsidP="00AE61BC">
      <w:pPr>
        <w:rPr>
          <w:rFonts w:ascii="Georgia" w:hAnsi="Georgia"/>
          <w:i/>
          <w:sz w:val="24"/>
          <w:szCs w:val="24"/>
        </w:rPr>
      </w:pPr>
    </w:p>
    <w:p w:rsidR="00266415" w:rsidRPr="00266415" w:rsidRDefault="00266415" w:rsidP="00266415">
      <w:pPr>
        <w:ind w:firstLine="851"/>
        <w:jc w:val="both"/>
        <w:rPr>
          <w:rFonts w:ascii="Georgia" w:hAnsi="Georgia"/>
          <w:sz w:val="24"/>
          <w:szCs w:val="24"/>
        </w:rPr>
      </w:pPr>
      <w:r w:rsidRPr="00266415">
        <w:rPr>
          <w:rFonts w:ascii="Georgia" w:hAnsi="Georgia"/>
          <w:sz w:val="24"/>
          <w:szCs w:val="24"/>
        </w:rPr>
        <w:t>O gestor público precisa reaprender a tomar decisões. Há muito tempo isso está evidente. “Apagão das canetas”, “Direito Administrativo do Medo”, “infantilização da Administração Pública” são rótulos correlatos a esse assunto. Como falei outro dia, a pandemia parecer ser a oportunidade para isso, mesmo em condições não ideais. A julgar pela História, será nesta guerra que o gestor púb</w:t>
      </w:r>
      <w:r>
        <w:rPr>
          <w:rFonts w:ascii="Georgia" w:hAnsi="Georgia"/>
          <w:sz w:val="24"/>
          <w:szCs w:val="24"/>
        </w:rPr>
        <w:t>lico brasileiro se reinventará.</w:t>
      </w:r>
    </w:p>
    <w:p w:rsidR="00266415" w:rsidRPr="00266415" w:rsidRDefault="00266415" w:rsidP="00266415">
      <w:pPr>
        <w:ind w:firstLine="851"/>
        <w:jc w:val="both"/>
        <w:rPr>
          <w:rFonts w:ascii="Georgia" w:hAnsi="Georgia"/>
          <w:sz w:val="24"/>
          <w:szCs w:val="24"/>
        </w:rPr>
      </w:pPr>
      <w:r w:rsidRPr="00266415">
        <w:rPr>
          <w:rFonts w:ascii="Georgia" w:hAnsi="Georgia"/>
          <w:sz w:val="24"/>
          <w:szCs w:val="24"/>
        </w:rPr>
        <w:t>Não podemos ignorar, contudo, que alguns serão abatidos por não saberem usar sua principal arma: A PRUDÊNCIA. Embora estejamos em um lócus a parte, onde as circunstâncias pandêmicas fornecem diferentes razões para decidir e o controle levará isso em consideração, não significa ausência de riscos. Significa que os riscos mudaram. É fundamental que isso seja compreendido pelos gestores para que</w:t>
      </w:r>
      <w:r>
        <w:rPr>
          <w:rFonts w:ascii="Georgia" w:hAnsi="Georgia"/>
          <w:sz w:val="24"/>
          <w:szCs w:val="24"/>
        </w:rPr>
        <w:t xml:space="preserve"> tenham a necessária autonomia.</w:t>
      </w:r>
    </w:p>
    <w:p w:rsidR="00266415" w:rsidRPr="00266415" w:rsidRDefault="00266415" w:rsidP="00266415">
      <w:pPr>
        <w:ind w:firstLine="851"/>
        <w:jc w:val="both"/>
        <w:rPr>
          <w:rFonts w:ascii="Georgia" w:hAnsi="Georgia"/>
          <w:sz w:val="24"/>
          <w:szCs w:val="24"/>
        </w:rPr>
      </w:pPr>
      <w:r w:rsidRPr="00266415">
        <w:rPr>
          <w:rFonts w:ascii="Georgia" w:hAnsi="Georgia"/>
          <w:sz w:val="24"/>
          <w:szCs w:val="24"/>
        </w:rPr>
        <w:t>Nesse contexto, cabe entender que as regras editadas para a contenção da emergência são, como quaisquer outras, sujeitas à interpretação. A emergência não é, como nunca foi, suficiente para criar uma verdade única. É aí que o Direito, mais do que nunca, encontra seu papel fundamental de garantir a estabilidade do sistema e a incolumidade do próprio Estado Democrático de Direito. A pandemia não acarretou a proscrição dos métodos e técnicas de interpretação, nem subjugou o Direito às necessidades de logística pública. Ao contrário, precisamos dele para dar ao gestor a noção exata das suas opções, incluindo a dimensão do risco, pos</w:t>
      </w:r>
      <w:r>
        <w:rPr>
          <w:rFonts w:ascii="Georgia" w:hAnsi="Georgia"/>
          <w:sz w:val="24"/>
          <w:szCs w:val="24"/>
        </w:rPr>
        <w:t>sibilitando o atuar consciente.</w:t>
      </w:r>
    </w:p>
    <w:p w:rsidR="0085694F" w:rsidRDefault="00266415" w:rsidP="00266415">
      <w:pPr>
        <w:ind w:firstLine="851"/>
        <w:jc w:val="both"/>
        <w:rPr>
          <w:rFonts w:ascii="Georgia" w:hAnsi="Georgia"/>
          <w:sz w:val="24"/>
          <w:szCs w:val="24"/>
        </w:rPr>
      </w:pPr>
      <w:r w:rsidRPr="00266415">
        <w:rPr>
          <w:rFonts w:ascii="Georgia" w:hAnsi="Georgia"/>
          <w:sz w:val="24"/>
          <w:szCs w:val="24"/>
        </w:rPr>
        <w:t xml:space="preserve">Precisamos do Direito Administrativo da Prudência. Prudência ao interpretar, prudência ao recomendar, prudência ao agir. A prudência será a chave para, já neste período, superarmos o Direito Administrativo do Medo. Com prudência, será possível atender aos objetivos da Lei 13.979/20 segundo sua mens legis, realizar contratações efetivas para salvar vidas e viabilizar a continuidade das atividades essenciais da Administração Pública, além de proteger o gestor público, alçado involuntariamente ao protagonismo da pandemia </w:t>
      </w:r>
      <w:proofErr w:type="spellStart"/>
      <w:r w:rsidRPr="00266415">
        <w:rPr>
          <w:rFonts w:ascii="Georgia" w:hAnsi="Georgia"/>
          <w:sz w:val="24"/>
          <w:szCs w:val="24"/>
        </w:rPr>
        <w:t>covid</w:t>
      </w:r>
      <w:proofErr w:type="spellEnd"/>
      <w:r w:rsidRPr="00266415">
        <w:rPr>
          <w:rFonts w:ascii="Georgia" w:hAnsi="Georgia"/>
          <w:sz w:val="24"/>
          <w:szCs w:val="24"/>
        </w:rPr>
        <w:t xml:space="preserve"> -19. Sejamos prudentes.</w:t>
      </w:r>
    </w:p>
    <w:p w:rsidR="0063513D" w:rsidRPr="00416056" w:rsidRDefault="0063513D" w:rsidP="0063513D">
      <w:pPr>
        <w:jc w:val="center"/>
        <w:rPr>
          <w:rFonts w:ascii="Georgia" w:hAnsi="Georgia"/>
          <w:sz w:val="24"/>
          <w:szCs w:val="24"/>
        </w:rPr>
      </w:pPr>
    </w:p>
    <w:sectPr w:rsidR="0063513D" w:rsidRPr="00416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C5" w:rsidRDefault="00FF1AC5" w:rsidP="00EE0534">
      <w:pPr>
        <w:spacing w:after="0" w:line="240" w:lineRule="auto"/>
      </w:pPr>
      <w:r>
        <w:separator/>
      </w:r>
    </w:p>
  </w:endnote>
  <w:endnote w:type="continuationSeparator" w:id="0">
    <w:p w:rsidR="00FF1AC5" w:rsidRDefault="00FF1AC5" w:rsidP="00EE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C5" w:rsidRDefault="00FF1AC5" w:rsidP="00EE0534">
      <w:pPr>
        <w:spacing w:after="0" w:line="240" w:lineRule="auto"/>
      </w:pPr>
      <w:r>
        <w:separator/>
      </w:r>
    </w:p>
  </w:footnote>
  <w:footnote w:type="continuationSeparator" w:id="0">
    <w:p w:rsidR="00FF1AC5" w:rsidRDefault="00FF1AC5" w:rsidP="00EE0534">
      <w:pPr>
        <w:spacing w:after="0" w:line="240" w:lineRule="auto"/>
      </w:pPr>
      <w:r>
        <w:continuationSeparator/>
      </w:r>
    </w:p>
  </w:footnote>
  <w:footnote w:id="1">
    <w:p w:rsidR="00EE0534" w:rsidRPr="0063513D" w:rsidRDefault="00EE0534" w:rsidP="0085694F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63513D">
        <w:rPr>
          <w:rStyle w:val="Refdenotaderodap"/>
          <w:rFonts w:ascii="Georgia" w:hAnsi="Georgia"/>
          <w:sz w:val="18"/>
          <w:szCs w:val="18"/>
        </w:rPr>
        <w:footnoteRef/>
      </w:r>
      <w:r w:rsidRPr="0063513D">
        <w:rPr>
          <w:rFonts w:ascii="Georgia" w:hAnsi="Georgia"/>
          <w:sz w:val="18"/>
          <w:szCs w:val="18"/>
        </w:rPr>
        <w:t xml:space="preserve"> </w:t>
      </w:r>
      <w:r w:rsidR="00266415" w:rsidRPr="00266415">
        <w:rPr>
          <w:rFonts w:ascii="Georgia" w:hAnsi="Georgia"/>
          <w:sz w:val="18"/>
          <w:szCs w:val="18"/>
        </w:rPr>
        <w:t xml:space="preserve">Advogada e consultora em licitações e contratos; Formada em Direito pela PUC-PR; ; Especialista em Direito Administrativo pela Faculdade de Direito de Curitiba; Mestre em Gestão de Políticas Públicas pela Universidade do Vale do Itajaí – UNIVALI; Consultora na Zênite Consultoria e Informação em Administração Pública </w:t>
      </w:r>
      <w:proofErr w:type="spellStart"/>
      <w:r w:rsidR="00266415" w:rsidRPr="00266415">
        <w:rPr>
          <w:rFonts w:ascii="Georgia" w:hAnsi="Georgia"/>
          <w:sz w:val="18"/>
          <w:szCs w:val="18"/>
        </w:rPr>
        <w:t>Ltda</w:t>
      </w:r>
      <w:proofErr w:type="spellEnd"/>
      <w:r w:rsidR="00266415" w:rsidRPr="00266415">
        <w:rPr>
          <w:rFonts w:ascii="Georgia" w:hAnsi="Georgia"/>
          <w:sz w:val="18"/>
          <w:szCs w:val="18"/>
        </w:rPr>
        <w:t xml:space="preserve"> de 1998 a 2004; Servidora do Tribunal de Contas do Estado do Paraná de 2004 a 2006; Diretora Jurídica do Grupo Negócios Públicos de 2006 a 2011; Diretora de Expansão do Grupo Negócios Públicos de 2015 a 2017; Professora do curso de Pós Graduação em Licitações e Contratos da UNIBRASIL; Autora das obras “Contratos Administrativos – Manual para Gestores e Fiscais”, Ed. Juruá, 2ª ed., 2017 e “Instrução Normativa 05/17-MPDG – Comentários a Artigos e Anexos – Modelos Estruturais para Estudos Preliminares”, INGEP, 2017; Corresponsável pela Coordenação Técnica do 13º Congresso Brasileiro de Pregoeiros 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BC"/>
    <w:rsid w:val="00083BF4"/>
    <w:rsid w:val="00266415"/>
    <w:rsid w:val="00416056"/>
    <w:rsid w:val="005B556C"/>
    <w:rsid w:val="0063513D"/>
    <w:rsid w:val="0085694F"/>
    <w:rsid w:val="00AE61BC"/>
    <w:rsid w:val="00D24804"/>
    <w:rsid w:val="00EB62E0"/>
    <w:rsid w:val="00EE0534"/>
    <w:rsid w:val="00EE061B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2BD7-2507-40AD-BBBC-60B8F332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05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053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0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95C8-A34C-4D2A-B08B-10BC500A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a.aviladiego@gmail.com</dc:creator>
  <cp:keywords/>
  <dc:description/>
  <cp:lastModifiedBy>a.aviladiego@gmail.com</cp:lastModifiedBy>
  <cp:revision>4</cp:revision>
  <dcterms:created xsi:type="dcterms:W3CDTF">2020-05-14T17:52:00Z</dcterms:created>
  <dcterms:modified xsi:type="dcterms:W3CDTF">2020-05-14T17:54:00Z</dcterms:modified>
</cp:coreProperties>
</file>